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EF8D" w14:textId="633EB284" w:rsidR="00527990" w:rsidRDefault="002A217D">
      <w:pPr>
        <w:rPr>
          <w:b/>
          <w:bCs/>
        </w:rPr>
      </w:pPr>
      <w:r w:rsidRPr="000B70E5">
        <w:rPr>
          <w:b/>
          <w:bCs/>
        </w:rPr>
        <w:t>CORPORATE SOCIAL RESPONSIBILITY ACTIVITIES</w:t>
      </w:r>
    </w:p>
    <w:tbl>
      <w:tblPr>
        <w:tblW w:w="10425" w:type="dxa"/>
        <w:tblCellMar>
          <w:left w:w="0" w:type="dxa"/>
          <w:right w:w="0" w:type="dxa"/>
        </w:tblCellMar>
        <w:tblLook w:val="04A0" w:firstRow="1" w:lastRow="0" w:firstColumn="1" w:lastColumn="0" w:noHBand="0" w:noVBand="1"/>
      </w:tblPr>
      <w:tblGrid>
        <w:gridCol w:w="10425"/>
      </w:tblGrid>
      <w:tr w:rsidR="002A217D" w:rsidRPr="000B70E5" w14:paraId="7414E362" w14:textId="77777777" w:rsidTr="006D50B6">
        <w:trPr>
          <w:trHeight w:val="280"/>
        </w:trPr>
        <w:tc>
          <w:tcPr>
            <w:tcW w:w="0" w:type="auto"/>
            <w:vAlign w:val="center"/>
            <w:hideMark/>
          </w:tcPr>
          <w:p w14:paraId="55352D3A" w14:textId="77777777" w:rsidR="002A217D" w:rsidRPr="000B70E5" w:rsidRDefault="002A217D" w:rsidP="006D50B6">
            <w:r w:rsidRPr="000B70E5">
              <w:t>The CSR vision of the Company is to build relationships of trust with local communities, society and stakeholders as good corporate citizens and to contribute for development of society and for upliftment of unprivileged.</w:t>
            </w:r>
          </w:p>
        </w:tc>
      </w:tr>
      <w:tr w:rsidR="002A217D" w:rsidRPr="000B70E5" w14:paraId="7A689EA7" w14:textId="77777777" w:rsidTr="006D50B6">
        <w:trPr>
          <w:trHeight w:val="280"/>
        </w:trPr>
        <w:tc>
          <w:tcPr>
            <w:tcW w:w="0" w:type="auto"/>
            <w:vAlign w:val="center"/>
            <w:hideMark/>
          </w:tcPr>
          <w:p w14:paraId="60641438" w14:textId="499CB9E1" w:rsidR="002A217D" w:rsidRPr="000B70E5" w:rsidRDefault="002A217D" w:rsidP="006D50B6">
            <w:r w:rsidRPr="000B70E5">
              <w:t xml:space="preserve">We, at </w:t>
            </w:r>
            <w:r>
              <w:t>HEFT Cranes</w:t>
            </w:r>
            <w:r w:rsidRPr="000B70E5">
              <w:t xml:space="preserve"> believe in Four core essentials of Corporate Social Responsibilities – sustainability of environment, ethical functioning, charitable support and care for stakeholders. We focus on charitable support. Our governance systems are underpinned by Ethics, Transparency and Accountability and non-indulgence in any unfair practices.</w:t>
            </w:r>
            <w:r>
              <w:t xml:space="preserve"> Apart from CSR scheduled activities </w:t>
            </w:r>
            <w:r w:rsidRPr="000B70E5">
              <w:t xml:space="preserve">We also provide a workplace to </w:t>
            </w:r>
            <w:r>
              <w:t>our</w:t>
            </w:r>
            <w:r w:rsidRPr="000B70E5">
              <w:t xml:space="preserve"> employees that are safe, hygienic and humane with access to training and development of skills. We believe in being responsive towards all stakeholders, including shareholders, employees, customers, suppliers, society at large etc. and cater to create value for all of them. The CSR Policy of the company is formulated in alignment with the vision of the company, which lays down guidelines and mechanisms to be adopted by the company in order to carry out CSR Projects/Programs.</w:t>
            </w:r>
            <w:r>
              <w:t xml:space="preserve"> </w:t>
            </w:r>
            <w:r w:rsidRPr="000B70E5">
              <w:t xml:space="preserve">The CSR Policy focuses on promoting education, eradicating hunger, improving health &amp;wellbeing of socially deprived people, enhancing livelihoods, </w:t>
            </w:r>
            <w:r>
              <w:t>maintaining</w:t>
            </w:r>
            <w:r w:rsidRPr="000B70E5">
              <w:t xml:space="preserve"> old age homes, such other facilities for senior citizens and reducing inequalities.</w:t>
            </w:r>
          </w:p>
        </w:tc>
      </w:tr>
      <w:tr w:rsidR="002A217D" w:rsidRPr="000B70E5" w14:paraId="5695A561" w14:textId="77777777" w:rsidTr="006D50B6">
        <w:trPr>
          <w:trHeight w:val="280"/>
        </w:trPr>
        <w:tc>
          <w:tcPr>
            <w:tcW w:w="0" w:type="auto"/>
            <w:vAlign w:val="center"/>
            <w:hideMark/>
          </w:tcPr>
          <w:p w14:paraId="1A9B659B" w14:textId="34068893" w:rsidR="002A217D" w:rsidRPr="000B70E5" w:rsidRDefault="002A217D" w:rsidP="006D50B6">
            <w:r w:rsidRPr="000B70E5">
              <w:t>Company is keen in spending its CSR obligation fund in align with the provisions of the Companies Act, 2013 and its CSR policy through</w:t>
            </w:r>
            <w:r>
              <w:t xml:space="preserve"> supporting</w:t>
            </w:r>
            <w:r w:rsidRPr="000B70E5">
              <w:t xml:space="preserve"> old age homes, providing scholarships for poor and deserving students by way of funding their educational needs under support education program. Apart from that Company also actively engages itself into grocery distribution programs as a measure to eradicate hunger under poverty relief program. These projects are undertaken by company through its CSR Registered Trust Shrimati </w:t>
            </w:r>
            <w:proofErr w:type="spellStart"/>
            <w:r w:rsidRPr="000B70E5">
              <w:t>Parvatiben</w:t>
            </w:r>
            <w:proofErr w:type="spellEnd"/>
            <w:r w:rsidRPr="000B70E5">
              <w:t xml:space="preserve"> Mavji Shethia Charitable Trust </w:t>
            </w:r>
            <w:r>
              <w:t>and</w:t>
            </w:r>
            <w:r w:rsidRPr="000B70E5">
              <w:t xml:space="preserve"> Seva </w:t>
            </w:r>
            <w:proofErr w:type="spellStart"/>
            <w:r w:rsidRPr="000B70E5">
              <w:t>Sahayog</w:t>
            </w:r>
            <w:proofErr w:type="spellEnd"/>
            <w:r w:rsidRPr="000B70E5">
              <w:t xml:space="preserve"> Foundation so as to reach the needy at ground level.</w:t>
            </w:r>
            <w:r>
              <w:t xml:space="preserve"> </w:t>
            </w:r>
          </w:p>
        </w:tc>
      </w:tr>
      <w:tr w:rsidR="002A217D" w:rsidRPr="000B70E5" w14:paraId="14B40412" w14:textId="77777777" w:rsidTr="006D50B6">
        <w:trPr>
          <w:trHeight w:val="280"/>
        </w:trPr>
        <w:tc>
          <w:tcPr>
            <w:tcW w:w="0" w:type="auto"/>
            <w:vAlign w:val="center"/>
            <w:hideMark/>
          </w:tcPr>
          <w:p w14:paraId="45F64B50" w14:textId="397E0EB2" w:rsidR="002A217D" w:rsidRPr="000B70E5" w:rsidRDefault="002A217D" w:rsidP="006D50B6">
            <w:r w:rsidRPr="000B70E5">
              <w:t>Apart from above programs company also gives medical relief to poor by making donation for their treatment in their medical needs</w:t>
            </w:r>
            <w:r>
              <w:t>.</w:t>
            </w:r>
          </w:p>
        </w:tc>
      </w:tr>
      <w:tr w:rsidR="002A217D" w:rsidRPr="002A217D" w14:paraId="16F489AF" w14:textId="77777777">
        <w:tblPrEx>
          <w:shd w:val="clear" w:color="auto" w:fill="FFFFFF"/>
        </w:tblPrEx>
        <w:tc>
          <w:tcPr>
            <w:tcW w:w="0" w:type="auto"/>
            <w:shd w:val="clear" w:color="auto" w:fill="FFFFFF"/>
            <w:vAlign w:val="center"/>
            <w:hideMark/>
          </w:tcPr>
          <w:p w14:paraId="37C4E0E5" w14:textId="39A1A982" w:rsidR="002A217D" w:rsidRPr="002A217D" w:rsidRDefault="002A217D" w:rsidP="002A217D">
            <w:r>
              <w:rPr>
                <w:b/>
                <w:bCs/>
              </w:rPr>
              <w:t>S</w:t>
            </w:r>
            <w:r w:rsidRPr="002A217D">
              <w:rPr>
                <w:b/>
                <w:bCs/>
              </w:rPr>
              <w:t>ummary of CSR Expenses:</w:t>
            </w:r>
            <w:r w:rsidRPr="002A217D">
              <w:br/>
              <w:t>Details of amount spent under CSR Scheme are provided below:</w:t>
            </w:r>
          </w:p>
        </w:tc>
      </w:tr>
    </w:tbl>
    <w:p w14:paraId="3E52C5E8" w14:textId="77777777" w:rsidR="002A217D" w:rsidRPr="002A217D" w:rsidRDefault="002A217D" w:rsidP="002A217D">
      <w:pPr>
        <w:rPr>
          <w:vanish/>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9"/>
        <w:gridCol w:w="1787"/>
        <w:gridCol w:w="1696"/>
        <w:gridCol w:w="1406"/>
        <w:gridCol w:w="2568"/>
      </w:tblGrid>
      <w:tr w:rsidR="002A217D" w:rsidRPr="002A217D" w14:paraId="37CCE472" w14:textId="77777777">
        <w:tc>
          <w:tcPr>
            <w:tcW w:w="0" w:type="auto"/>
            <w:shd w:val="clear" w:color="auto" w:fill="FFFFFF"/>
            <w:tcMar>
              <w:top w:w="0" w:type="dxa"/>
              <w:left w:w="0" w:type="dxa"/>
              <w:bottom w:w="0" w:type="dxa"/>
              <w:right w:w="0" w:type="dxa"/>
            </w:tcMar>
            <w:vAlign w:val="center"/>
            <w:hideMark/>
          </w:tcPr>
          <w:p w14:paraId="087F2C20" w14:textId="24EF7AB2" w:rsidR="002A217D" w:rsidRPr="002A217D" w:rsidRDefault="002A217D" w:rsidP="002A217D">
            <w:pPr>
              <w:rPr>
                <w:b/>
                <w:bCs/>
              </w:rPr>
            </w:pPr>
            <w:r w:rsidRPr="002A217D">
              <w:rPr>
                <w:b/>
                <w:bCs/>
              </w:rPr>
              <w:t>Financial Year</w:t>
            </w:r>
            <w:r>
              <w:rPr>
                <w:b/>
                <w:bCs/>
              </w:rPr>
              <w:t xml:space="preserve"> Obligation</w:t>
            </w:r>
          </w:p>
        </w:tc>
        <w:tc>
          <w:tcPr>
            <w:tcW w:w="0" w:type="auto"/>
            <w:shd w:val="clear" w:color="auto" w:fill="FFFFFF"/>
            <w:tcMar>
              <w:top w:w="0" w:type="dxa"/>
              <w:left w:w="0" w:type="dxa"/>
              <w:bottom w:w="0" w:type="dxa"/>
              <w:right w:w="0" w:type="dxa"/>
            </w:tcMar>
            <w:vAlign w:val="center"/>
            <w:hideMark/>
          </w:tcPr>
          <w:p w14:paraId="11CC8F1C" w14:textId="77777777" w:rsidR="002A217D" w:rsidRPr="002A217D" w:rsidRDefault="002A217D" w:rsidP="002A217D">
            <w:pPr>
              <w:rPr>
                <w:b/>
                <w:bCs/>
              </w:rPr>
            </w:pPr>
            <w:r w:rsidRPr="002A217D">
              <w:rPr>
                <w:b/>
                <w:bCs/>
              </w:rPr>
              <w:t>Average Net Profit for 3 FY</w:t>
            </w:r>
          </w:p>
        </w:tc>
        <w:tc>
          <w:tcPr>
            <w:tcW w:w="0" w:type="auto"/>
            <w:shd w:val="clear" w:color="auto" w:fill="FFFFFF"/>
            <w:tcMar>
              <w:top w:w="0" w:type="dxa"/>
              <w:left w:w="0" w:type="dxa"/>
              <w:bottom w:w="0" w:type="dxa"/>
              <w:right w:w="0" w:type="dxa"/>
            </w:tcMar>
            <w:vAlign w:val="center"/>
            <w:hideMark/>
          </w:tcPr>
          <w:p w14:paraId="6F9AE396" w14:textId="77777777" w:rsidR="002A217D" w:rsidRPr="002A217D" w:rsidRDefault="002A217D" w:rsidP="002A217D">
            <w:pPr>
              <w:rPr>
                <w:b/>
                <w:bCs/>
              </w:rPr>
            </w:pPr>
            <w:r w:rsidRPr="002A217D">
              <w:rPr>
                <w:b/>
                <w:bCs/>
              </w:rPr>
              <w:t>Amount required to be spent</w:t>
            </w:r>
          </w:p>
        </w:tc>
        <w:tc>
          <w:tcPr>
            <w:tcW w:w="0" w:type="auto"/>
            <w:shd w:val="clear" w:color="auto" w:fill="FFFFFF"/>
            <w:tcMar>
              <w:top w:w="0" w:type="dxa"/>
              <w:left w:w="0" w:type="dxa"/>
              <w:bottom w:w="0" w:type="dxa"/>
              <w:right w:w="0" w:type="dxa"/>
            </w:tcMar>
            <w:vAlign w:val="center"/>
            <w:hideMark/>
          </w:tcPr>
          <w:p w14:paraId="2419D719" w14:textId="77777777" w:rsidR="002A217D" w:rsidRPr="002A217D" w:rsidRDefault="002A217D" w:rsidP="002A217D">
            <w:pPr>
              <w:rPr>
                <w:b/>
                <w:bCs/>
              </w:rPr>
            </w:pPr>
            <w:r w:rsidRPr="002A217D">
              <w:rPr>
                <w:b/>
                <w:bCs/>
              </w:rPr>
              <w:t>Actual Amount Spent</w:t>
            </w:r>
          </w:p>
        </w:tc>
        <w:tc>
          <w:tcPr>
            <w:tcW w:w="0" w:type="auto"/>
            <w:shd w:val="clear" w:color="auto" w:fill="FFFFFF"/>
            <w:tcMar>
              <w:top w:w="0" w:type="dxa"/>
              <w:left w:w="0" w:type="dxa"/>
              <w:bottom w:w="0" w:type="dxa"/>
              <w:right w:w="0" w:type="dxa"/>
            </w:tcMar>
            <w:vAlign w:val="center"/>
            <w:hideMark/>
          </w:tcPr>
          <w:p w14:paraId="0E5D9940" w14:textId="77777777" w:rsidR="002A217D" w:rsidRPr="002A217D" w:rsidRDefault="002A217D" w:rsidP="002A217D">
            <w:pPr>
              <w:rPr>
                <w:b/>
                <w:bCs/>
              </w:rPr>
            </w:pPr>
            <w:r w:rsidRPr="002A217D">
              <w:rPr>
                <w:b/>
                <w:bCs/>
              </w:rPr>
              <w:t>Amount left unspent/(Overspent)</w:t>
            </w:r>
          </w:p>
        </w:tc>
      </w:tr>
      <w:tr w:rsidR="002A217D" w:rsidRPr="002A217D" w14:paraId="52594B24" w14:textId="77777777">
        <w:tc>
          <w:tcPr>
            <w:tcW w:w="0" w:type="auto"/>
            <w:shd w:val="clear" w:color="auto" w:fill="FFFFFF"/>
            <w:tcMar>
              <w:top w:w="0" w:type="dxa"/>
              <w:left w:w="0" w:type="dxa"/>
              <w:bottom w:w="0" w:type="dxa"/>
              <w:right w:w="0" w:type="dxa"/>
            </w:tcMar>
            <w:vAlign w:val="center"/>
            <w:hideMark/>
          </w:tcPr>
          <w:p w14:paraId="4A64CC18" w14:textId="410C34B4" w:rsidR="002A217D" w:rsidRPr="002A217D" w:rsidRDefault="002A217D" w:rsidP="002A217D">
            <w:r w:rsidRPr="002A217D">
              <w:t>20</w:t>
            </w:r>
            <w:r>
              <w:t>23</w:t>
            </w:r>
            <w:r w:rsidRPr="002A217D">
              <w:t>-</w:t>
            </w:r>
            <w:r>
              <w:t>24</w:t>
            </w:r>
          </w:p>
        </w:tc>
        <w:tc>
          <w:tcPr>
            <w:tcW w:w="0" w:type="auto"/>
            <w:shd w:val="clear" w:color="auto" w:fill="FFFFFF"/>
            <w:tcMar>
              <w:top w:w="0" w:type="dxa"/>
              <w:left w:w="0" w:type="dxa"/>
              <w:bottom w:w="0" w:type="dxa"/>
              <w:right w:w="0" w:type="dxa"/>
            </w:tcMar>
            <w:vAlign w:val="center"/>
            <w:hideMark/>
          </w:tcPr>
          <w:p w14:paraId="17F69707" w14:textId="00541333" w:rsidR="002A217D" w:rsidRPr="002A217D" w:rsidRDefault="002A217D" w:rsidP="002A217D">
            <w:r>
              <w:t>13,17,59,035</w:t>
            </w:r>
          </w:p>
        </w:tc>
        <w:tc>
          <w:tcPr>
            <w:tcW w:w="0" w:type="auto"/>
            <w:shd w:val="clear" w:color="auto" w:fill="FFFFFF"/>
            <w:tcMar>
              <w:top w:w="0" w:type="dxa"/>
              <w:left w:w="0" w:type="dxa"/>
              <w:bottom w:w="0" w:type="dxa"/>
              <w:right w:w="0" w:type="dxa"/>
            </w:tcMar>
            <w:vAlign w:val="center"/>
            <w:hideMark/>
          </w:tcPr>
          <w:p w14:paraId="6A0CA701" w14:textId="591E0B5C" w:rsidR="002A217D" w:rsidRPr="002A217D" w:rsidRDefault="002A217D" w:rsidP="002A217D">
            <w:r>
              <w:t>26,36,000</w:t>
            </w:r>
          </w:p>
        </w:tc>
        <w:tc>
          <w:tcPr>
            <w:tcW w:w="0" w:type="auto"/>
            <w:shd w:val="clear" w:color="auto" w:fill="FFFFFF"/>
            <w:tcMar>
              <w:top w:w="0" w:type="dxa"/>
              <w:left w:w="0" w:type="dxa"/>
              <w:bottom w:w="0" w:type="dxa"/>
              <w:right w:w="0" w:type="dxa"/>
            </w:tcMar>
            <w:vAlign w:val="center"/>
            <w:hideMark/>
          </w:tcPr>
          <w:p w14:paraId="026FCBCD" w14:textId="3A786D1C" w:rsidR="002A217D" w:rsidRPr="002A217D" w:rsidRDefault="002A217D" w:rsidP="002A217D">
            <w:r>
              <w:t>26,36,000</w:t>
            </w:r>
          </w:p>
        </w:tc>
        <w:tc>
          <w:tcPr>
            <w:tcW w:w="0" w:type="auto"/>
            <w:shd w:val="clear" w:color="auto" w:fill="FFFFFF"/>
            <w:tcMar>
              <w:top w:w="0" w:type="dxa"/>
              <w:left w:w="0" w:type="dxa"/>
              <w:bottom w:w="0" w:type="dxa"/>
              <w:right w:w="0" w:type="dxa"/>
            </w:tcMar>
            <w:vAlign w:val="center"/>
            <w:hideMark/>
          </w:tcPr>
          <w:p w14:paraId="15EA234F" w14:textId="77777777" w:rsidR="002A217D" w:rsidRPr="002A217D" w:rsidRDefault="002A217D" w:rsidP="002A217D">
            <w:r w:rsidRPr="002A217D">
              <w:t>-</w:t>
            </w:r>
          </w:p>
        </w:tc>
      </w:tr>
    </w:tbl>
    <w:p w14:paraId="5E4D43F6" w14:textId="09DF2976" w:rsidR="002A217D" w:rsidRPr="003D0915" w:rsidRDefault="00ED594B">
      <w:pPr>
        <w:rPr>
          <w:b/>
          <w:bCs/>
        </w:rPr>
      </w:pPr>
      <w:r w:rsidRPr="003D0915">
        <w:rPr>
          <w:b/>
          <w:bCs/>
        </w:rPr>
        <w:t xml:space="preserve">CSR Committee Constitution </w:t>
      </w:r>
    </w:p>
    <w:p w14:paraId="6A3D2783" w14:textId="5D22493E" w:rsidR="003D0915" w:rsidRPr="00860F3C" w:rsidRDefault="003D0915" w:rsidP="003D0915">
      <w:pPr>
        <w:pStyle w:val="BodyText"/>
        <w:tabs>
          <w:tab w:val="left" w:pos="142"/>
        </w:tabs>
        <w:kinsoku w:val="0"/>
        <w:overflowPunct w:val="0"/>
        <w:spacing w:line="276" w:lineRule="auto"/>
        <w:ind w:left="0" w:right="125"/>
        <w:jc w:val="both"/>
        <w:rPr>
          <w:rFonts w:ascii="Aptos" w:hAnsi="Aptos"/>
          <w:spacing w:val="1"/>
          <w:sz w:val="22"/>
          <w:szCs w:val="22"/>
        </w:rPr>
      </w:pPr>
      <w:r>
        <w:rPr>
          <w:rFonts w:ascii="Aptos" w:hAnsi="Aptos"/>
          <w:spacing w:val="1"/>
          <w:sz w:val="22"/>
          <w:szCs w:val="22"/>
        </w:rPr>
        <w:t xml:space="preserve">The CSR Committee of the Company constitutes of the following </w:t>
      </w:r>
      <w:r w:rsidRPr="00860F3C">
        <w:rPr>
          <w:rFonts w:ascii="Aptos" w:hAnsi="Aptos"/>
          <w:spacing w:val="1"/>
          <w:sz w:val="22"/>
          <w:szCs w:val="22"/>
        </w:rPr>
        <w:t>Members</w:t>
      </w:r>
      <w:r>
        <w:rPr>
          <w:rFonts w:ascii="Aptos" w:hAnsi="Aptos"/>
          <w:spacing w:val="1"/>
          <w:sz w:val="22"/>
          <w:szCs w:val="22"/>
        </w:rPr>
        <w:t>:</w:t>
      </w:r>
    </w:p>
    <w:p w14:paraId="4721CF6A" w14:textId="77777777" w:rsidR="003D0915" w:rsidRPr="00860F3C" w:rsidRDefault="003D0915" w:rsidP="003D0915">
      <w:pPr>
        <w:pStyle w:val="BodyText"/>
        <w:tabs>
          <w:tab w:val="left" w:pos="142"/>
        </w:tabs>
        <w:kinsoku w:val="0"/>
        <w:overflowPunct w:val="0"/>
        <w:spacing w:line="276" w:lineRule="auto"/>
        <w:ind w:left="142" w:right="125"/>
        <w:jc w:val="both"/>
        <w:rPr>
          <w:rFonts w:ascii="Aptos" w:hAnsi="Aptos" w:cs="Times New Roman"/>
          <w:spacing w:val="1"/>
          <w:sz w:val="22"/>
          <w:szCs w:val="22"/>
        </w:rPr>
      </w:pPr>
    </w:p>
    <w:p w14:paraId="771EF4E3" w14:textId="77777777" w:rsidR="003D0915" w:rsidRPr="00860F3C" w:rsidRDefault="003D0915" w:rsidP="003D0915">
      <w:pPr>
        <w:pStyle w:val="BodyText"/>
        <w:numPr>
          <w:ilvl w:val="0"/>
          <w:numId w:val="1"/>
        </w:numPr>
        <w:tabs>
          <w:tab w:val="left" w:pos="142"/>
        </w:tabs>
        <w:kinsoku w:val="0"/>
        <w:overflowPunct w:val="0"/>
        <w:spacing w:line="276" w:lineRule="auto"/>
        <w:ind w:right="125"/>
        <w:jc w:val="both"/>
        <w:rPr>
          <w:rFonts w:ascii="Aptos" w:hAnsi="Aptos" w:cs="Times New Roman"/>
          <w:spacing w:val="1"/>
          <w:sz w:val="22"/>
          <w:szCs w:val="22"/>
        </w:rPr>
      </w:pPr>
      <w:r w:rsidRPr="00860F3C">
        <w:rPr>
          <w:rFonts w:ascii="Aptos" w:hAnsi="Aptos" w:cs="Times New Roman"/>
          <w:spacing w:val="1"/>
          <w:sz w:val="22"/>
          <w:szCs w:val="22"/>
        </w:rPr>
        <w:t xml:space="preserve">Mr. Mitesh Laxmikant Shethia </w:t>
      </w:r>
      <w:r w:rsidRPr="00860F3C">
        <w:rPr>
          <w:rFonts w:ascii="Aptos" w:hAnsi="Aptos" w:cs="Times New Roman"/>
          <w:spacing w:val="1"/>
          <w:sz w:val="22"/>
          <w:szCs w:val="22"/>
        </w:rPr>
        <w:tab/>
      </w:r>
      <w:r w:rsidRPr="00860F3C">
        <w:rPr>
          <w:rFonts w:ascii="Aptos" w:hAnsi="Aptos" w:cs="Times New Roman"/>
          <w:spacing w:val="1"/>
          <w:sz w:val="22"/>
          <w:szCs w:val="22"/>
        </w:rPr>
        <w:tab/>
        <w:t xml:space="preserve">Chairman </w:t>
      </w:r>
    </w:p>
    <w:p w14:paraId="79A5B16E" w14:textId="77777777" w:rsidR="003D0915" w:rsidRPr="00860F3C" w:rsidRDefault="003D0915" w:rsidP="003D0915">
      <w:pPr>
        <w:pStyle w:val="BodyText"/>
        <w:numPr>
          <w:ilvl w:val="0"/>
          <w:numId w:val="1"/>
        </w:numPr>
        <w:tabs>
          <w:tab w:val="left" w:pos="142"/>
        </w:tabs>
        <w:kinsoku w:val="0"/>
        <w:overflowPunct w:val="0"/>
        <w:spacing w:line="276" w:lineRule="auto"/>
        <w:ind w:right="125"/>
        <w:jc w:val="both"/>
        <w:rPr>
          <w:rFonts w:ascii="Aptos" w:hAnsi="Aptos" w:cs="Times New Roman"/>
          <w:spacing w:val="1"/>
          <w:sz w:val="22"/>
          <w:szCs w:val="22"/>
        </w:rPr>
      </w:pPr>
      <w:r w:rsidRPr="00860F3C">
        <w:rPr>
          <w:rFonts w:ascii="Aptos" w:hAnsi="Aptos" w:cs="Times New Roman"/>
          <w:spacing w:val="1"/>
          <w:sz w:val="22"/>
          <w:szCs w:val="22"/>
        </w:rPr>
        <w:t>Mr. Manoj Sunil Chaudhari</w:t>
      </w:r>
      <w:r w:rsidRPr="00860F3C">
        <w:rPr>
          <w:rFonts w:ascii="Aptos" w:hAnsi="Aptos" w:cs="Times New Roman"/>
          <w:spacing w:val="1"/>
          <w:sz w:val="22"/>
          <w:szCs w:val="22"/>
        </w:rPr>
        <w:tab/>
      </w:r>
      <w:r w:rsidRPr="00860F3C">
        <w:rPr>
          <w:rFonts w:ascii="Aptos" w:hAnsi="Aptos" w:cs="Times New Roman"/>
          <w:spacing w:val="1"/>
          <w:sz w:val="22"/>
          <w:szCs w:val="22"/>
        </w:rPr>
        <w:tab/>
        <w:t>Member</w:t>
      </w:r>
    </w:p>
    <w:p w14:paraId="6494CAA9" w14:textId="77777777" w:rsidR="003D0915" w:rsidRPr="00860F3C" w:rsidRDefault="003D0915" w:rsidP="003D0915">
      <w:pPr>
        <w:pStyle w:val="BodyText"/>
        <w:numPr>
          <w:ilvl w:val="0"/>
          <w:numId w:val="1"/>
        </w:numPr>
        <w:tabs>
          <w:tab w:val="left" w:pos="142"/>
        </w:tabs>
        <w:kinsoku w:val="0"/>
        <w:overflowPunct w:val="0"/>
        <w:spacing w:line="276" w:lineRule="auto"/>
        <w:ind w:right="125"/>
        <w:jc w:val="both"/>
        <w:rPr>
          <w:rFonts w:ascii="Aptos" w:hAnsi="Aptos" w:cs="Times New Roman"/>
          <w:spacing w:val="1"/>
          <w:sz w:val="22"/>
          <w:szCs w:val="22"/>
        </w:rPr>
      </w:pPr>
      <w:r w:rsidRPr="00860F3C">
        <w:rPr>
          <w:rFonts w:ascii="Aptos" w:hAnsi="Aptos" w:cs="Times New Roman"/>
          <w:spacing w:val="1"/>
          <w:sz w:val="22"/>
          <w:szCs w:val="22"/>
        </w:rPr>
        <w:t>Mr. Gurvinder Singh Saini</w:t>
      </w:r>
      <w:r w:rsidRPr="00860F3C">
        <w:rPr>
          <w:rFonts w:ascii="Aptos" w:hAnsi="Aptos" w:cs="Times New Roman"/>
          <w:spacing w:val="1"/>
          <w:sz w:val="22"/>
          <w:szCs w:val="22"/>
        </w:rPr>
        <w:tab/>
      </w:r>
      <w:r w:rsidRPr="00860F3C">
        <w:rPr>
          <w:rFonts w:ascii="Aptos" w:hAnsi="Aptos" w:cs="Times New Roman"/>
          <w:spacing w:val="1"/>
          <w:sz w:val="22"/>
          <w:szCs w:val="22"/>
        </w:rPr>
        <w:tab/>
        <w:t>Member</w:t>
      </w:r>
    </w:p>
    <w:p w14:paraId="3B2F9F6B" w14:textId="77777777" w:rsidR="003D0915" w:rsidRPr="00860F3C" w:rsidRDefault="003D0915" w:rsidP="003D0915">
      <w:pPr>
        <w:pStyle w:val="BodyText"/>
        <w:numPr>
          <w:ilvl w:val="0"/>
          <w:numId w:val="1"/>
        </w:numPr>
        <w:tabs>
          <w:tab w:val="left" w:pos="142"/>
        </w:tabs>
        <w:kinsoku w:val="0"/>
        <w:overflowPunct w:val="0"/>
        <w:spacing w:line="276" w:lineRule="auto"/>
        <w:ind w:right="125"/>
        <w:jc w:val="both"/>
        <w:rPr>
          <w:rFonts w:ascii="Aptos" w:hAnsi="Aptos" w:cs="Times New Roman"/>
          <w:spacing w:val="1"/>
          <w:sz w:val="22"/>
          <w:szCs w:val="22"/>
        </w:rPr>
      </w:pPr>
      <w:r w:rsidRPr="00860F3C">
        <w:rPr>
          <w:rFonts w:ascii="Aptos" w:hAnsi="Aptos" w:cs="Times New Roman"/>
          <w:spacing w:val="1"/>
          <w:sz w:val="22"/>
          <w:szCs w:val="22"/>
        </w:rPr>
        <w:t xml:space="preserve">Mr. Preet </w:t>
      </w:r>
      <w:proofErr w:type="spellStart"/>
      <w:r w:rsidRPr="00860F3C">
        <w:rPr>
          <w:rFonts w:ascii="Aptos" w:hAnsi="Aptos" w:cs="Times New Roman"/>
          <w:spacing w:val="1"/>
          <w:sz w:val="22"/>
          <w:szCs w:val="22"/>
        </w:rPr>
        <w:t>Bedii</w:t>
      </w:r>
      <w:proofErr w:type="spellEnd"/>
      <w:r w:rsidRPr="00860F3C">
        <w:rPr>
          <w:rFonts w:ascii="Aptos" w:hAnsi="Aptos" w:cs="Times New Roman"/>
          <w:spacing w:val="1"/>
          <w:sz w:val="22"/>
          <w:szCs w:val="22"/>
        </w:rPr>
        <w:tab/>
      </w:r>
      <w:r w:rsidRPr="00860F3C">
        <w:rPr>
          <w:rFonts w:ascii="Aptos" w:hAnsi="Aptos" w:cs="Times New Roman"/>
          <w:spacing w:val="1"/>
          <w:sz w:val="22"/>
          <w:szCs w:val="22"/>
        </w:rPr>
        <w:tab/>
      </w:r>
      <w:r w:rsidRPr="00860F3C">
        <w:rPr>
          <w:rFonts w:ascii="Aptos" w:hAnsi="Aptos" w:cs="Times New Roman"/>
          <w:spacing w:val="1"/>
          <w:sz w:val="22"/>
          <w:szCs w:val="22"/>
        </w:rPr>
        <w:tab/>
      </w:r>
      <w:r w:rsidRPr="00860F3C">
        <w:rPr>
          <w:rFonts w:ascii="Aptos" w:hAnsi="Aptos" w:cs="Times New Roman"/>
          <w:spacing w:val="1"/>
          <w:sz w:val="22"/>
          <w:szCs w:val="22"/>
        </w:rPr>
        <w:tab/>
        <w:t xml:space="preserve">Member  </w:t>
      </w:r>
    </w:p>
    <w:p w14:paraId="2D03A689" w14:textId="77777777" w:rsidR="003D0915" w:rsidRPr="00860F3C" w:rsidRDefault="003D0915" w:rsidP="003D0915">
      <w:pPr>
        <w:pStyle w:val="BodyText"/>
        <w:tabs>
          <w:tab w:val="left" w:pos="142"/>
        </w:tabs>
        <w:kinsoku w:val="0"/>
        <w:overflowPunct w:val="0"/>
        <w:spacing w:line="276" w:lineRule="auto"/>
        <w:ind w:right="125"/>
        <w:jc w:val="both"/>
        <w:rPr>
          <w:rFonts w:ascii="Aptos" w:hAnsi="Aptos" w:cs="Times New Roman"/>
          <w:spacing w:val="1"/>
          <w:sz w:val="22"/>
          <w:szCs w:val="22"/>
        </w:rPr>
      </w:pPr>
    </w:p>
    <w:p w14:paraId="121D1645" w14:textId="77777777" w:rsidR="00ED594B" w:rsidRDefault="00ED594B"/>
    <w:sectPr w:rsidR="00ED5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04751"/>
    <w:multiLevelType w:val="hybridMultilevel"/>
    <w:tmpl w:val="4EAC9082"/>
    <w:lvl w:ilvl="0" w:tplc="116E1606">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16cid:durableId="67033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7D"/>
    <w:rsid w:val="002A217D"/>
    <w:rsid w:val="003D0915"/>
    <w:rsid w:val="00527990"/>
    <w:rsid w:val="00807A53"/>
    <w:rsid w:val="009A7118"/>
    <w:rsid w:val="009E68AC"/>
    <w:rsid w:val="00BC740E"/>
    <w:rsid w:val="00ED594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0ED5"/>
  <w15:chartTrackingRefBased/>
  <w15:docId w15:val="{0BD510DC-A39A-476C-86FD-B6E677C9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17D"/>
    <w:rPr>
      <w:rFonts w:eastAsiaTheme="majorEastAsia" w:cstheme="majorBidi"/>
      <w:color w:val="272727" w:themeColor="text1" w:themeTint="D8"/>
    </w:rPr>
  </w:style>
  <w:style w:type="paragraph" w:styleId="Title">
    <w:name w:val="Title"/>
    <w:basedOn w:val="Normal"/>
    <w:next w:val="Normal"/>
    <w:link w:val="TitleChar"/>
    <w:uiPriority w:val="10"/>
    <w:qFormat/>
    <w:rsid w:val="002A2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17D"/>
    <w:pPr>
      <w:spacing w:before="160"/>
      <w:jc w:val="center"/>
    </w:pPr>
    <w:rPr>
      <w:i/>
      <w:iCs/>
      <w:color w:val="404040" w:themeColor="text1" w:themeTint="BF"/>
    </w:rPr>
  </w:style>
  <w:style w:type="character" w:customStyle="1" w:styleId="QuoteChar">
    <w:name w:val="Quote Char"/>
    <w:basedOn w:val="DefaultParagraphFont"/>
    <w:link w:val="Quote"/>
    <w:uiPriority w:val="29"/>
    <w:rsid w:val="002A217D"/>
    <w:rPr>
      <w:i/>
      <w:iCs/>
      <w:color w:val="404040" w:themeColor="text1" w:themeTint="BF"/>
    </w:rPr>
  </w:style>
  <w:style w:type="paragraph" w:styleId="ListParagraph">
    <w:name w:val="List Paragraph"/>
    <w:basedOn w:val="Normal"/>
    <w:uiPriority w:val="34"/>
    <w:qFormat/>
    <w:rsid w:val="002A217D"/>
    <w:pPr>
      <w:ind w:left="720"/>
      <w:contextualSpacing/>
    </w:pPr>
  </w:style>
  <w:style w:type="character" w:styleId="IntenseEmphasis">
    <w:name w:val="Intense Emphasis"/>
    <w:basedOn w:val="DefaultParagraphFont"/>
    <w:uiPriority w:val="21"/>
    <w:qFormat/>
    <w:rsid w:val="002A217D"/>
    <w:rPr>
      <w:i/>
      <w:iCs/>
      <w:color w:val="2F5496" w:themeColor="accent1" w:themeShade="BF"/>
    </w:rPr>
  </w:style>
  <w:style w:type="paragraph" w:styleId="IntenseQuote">
    <w:name w:val="Intense Quote"/>
    <w:basedOn w:val="Normal"/>
    <w:next w:val="Normal"/>
    <w:link w:val="IntenseQuoteChar"/>
    <w:uiPriority w:val="30"/>
    <w:qFormat/>
    <w:rsid w:val="002A2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17D"/>
    <w:rPr>
      <w:i/>
      <w:iCs/>
      <w:color w:val="2F5496" w:themeColor="accent1" w:themeShade="BF"/>
    </w:rPr>
  </w:style>
  <w:style w:type="character" w:styleId="IntenseReference">
    <w:name w:val="Intense Reference"/>
    <w:basedOn w:val="DefaultParagraphFont"/>
    <w:uiPriority w:val="32"/>
    <w:qFormat/>
    <w:rsid w:val="002A217D"/>
    <w:rPr>
      <w:b/>
      <w:bCs/>
      <w:smallCaps/>
      <w:color w:val="2F5496" w:themeColor="accent1" w:themeShade="BF"/>
      <w:spacing w:val="5"/>
    </w:rPr>
  </w:style>
  <w:style w:type="paragraph" w:styleId="BodyText">
    <w:name w:val="Body Text"/>
    <w:basedOn w:val="Normal"/>
    <w:link w:val="BodyTextChar"/>
    <w:uiPriority w:val="1"/>
    <w:qFormat/>
    <w:rsid w:val="003D0915"/>
    <w:pPr>
      <w:widowControl w:val="0"/>
      <w:autoSpaceDE w:val="0"/>
      <w:autoSpaceDN w:val="0"/>
      <w:adjustRightInd w:val="0"/>
      <w:spacing w:after="0" w:line="240" w:lineRule="auto"/>
      <w:ind w:left="100"/>
    </w:pPr>
    <w:rPr>
      <w:rFonts w:ascii="Cambria" w:hAnsi="Cambria" w:cs="Cambria"/>
      <w:kern w:val="0"/>
      <w:sz w:val="21"/>
      <w:szCs w:val="21"/>
      <w:lang w:eastAsia="en-IN"/>
      <w14:ligatures w14:val="none"/>
    </w:rPr>
  </w:style>
  <w:style w:type="character" w:customStyle="1" w:styleId="BodyTextChar">
    <w:name w:val="Body Text Char"/>
    <w:basedOn w:val="DefaultParagraphFont"/>
    <w:link w:val="BodyText"/>
    <w:uiPriority w:val="1"/>
    <w:rsid w:val="003D0915"/>
    <w:rPr>
      <w:rFonts w:ascii="Cambria" w:hAnsi="Cambria" w:cs="Cambria"/>
      <w:kern w:val="0"/>
      <w:sz w:val="21"/>
      <w:szCs w:val="21"/>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khot</dc:creator>
  <cp:keywords/>
  <dc:description/>
  <cp:lastModifiedBy>Nida khot</cp:lastModifiedBy>
  <cp:revision>3</cp:revision>
  <dcterms:created xsi:type="dcterms:W3CDTF">2026-01-20T06:04:00Z</dcterms:created>
  <dcterms:modified xsi:type="dcterms:W3CDTF">2026-01-20T06:12:00Z</dcterms:modified>
</cp:coreProperties>
</file>